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F0" w:rsidRPr="006602F0" w:rsidRDefault="006602F0" w:rsidP="006602F0">
      <w:pPr>
        <w:shd w:val="clear" w:color="auto" w:fill="FFFFFF"/>
        <w:spacing w:after="0" w:line="240" w:lineRule="auto"/>
        <w:outlineLvl w:val="0"/>
        <w:rPr>
          <w:rFonts w:ascii="Times New Roman" w:eastAsia="Times New Roman" w:hAnsi="Times New Roman" w:cs="Times New Roman"/>
          <w:b/>
          <w:bCs/>
          <w:color w:val="333300"/>
          <w:kern w:val="36"/>
          <w:sz w:val="36"/>
          <w:szCs w:val="36"/>
          <w:lang w:eastAsia="ru-RU"/>
        </w:rPr>
      </w:pPr>
      <w:bookmarkStart w:id="0" w:name="_GoBack"/>
      <w:bookmarkEnd w:id="0"/>
      <w:r w:rsidRPr="006602F0">
        <w:rPr>
          <w:rFonts w:ascii="Times New Roman" w:eastAsia="Times New Roman" w:hAnsi="Times New Roman" w:cs="Times New Roman"/>
          <w:b/>
          <w:bCs/>
          <w:color w:val="333300"/>
          <w:kern w:val="36"/>
          <w:sz w:val="36"/>
          <w:szCs w:val="36"/>
          <w:lang w:eastAsia="ru-RU"/>
        </w:rPr>
        <w:t>Федеральный закон от 25.12.2008 № 273-ФЗ «О противодействии коррупции»</w:t>
      </w:r>
    </w:p>
    <w:p w:rsidR="006602F0" w:rsidRPr="006602F0" w:rsidRDefault="006602F0" w:rsidP="006602F0">
      <w:pPr>
        <w:shd w:val="clear" w:color="auto" w:fill="FFFFFF"/>
        <w:spacing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noProof/>
          <w:color w:val="6E693D"/>
          <w:lang w:eastAsia="ru-RU"/>
        </w:rPr>
        <w:drawing>
          <wp:inline distT="0" distB="0" distL="0" distR="0" wp14:anchorId="423A0293" wp14:editId="46818DFB">
            <wp:extent cx="148590" cy="148590"/>
            <wp:effectExtent l="0" t="0" r="3810" b="3810"/>
            <wp:docPr id="1" name="Рисунок 1" descr="Страница для печати">
              <a:hlinkClick xmlns:a="http://schemas.openxmlformats.org/drawingml/2006/main" r:id="rId5" tooltip="&quot;Показать страницу для печати для этой страниц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аница для печати">
                      <a:hlinkClick r:id="rId5" tooltip="&quot;Показать страницу для печати для этой страницы.&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6602F0">
        <w:rPr>
          <w:rFonts w:ascii="Times New Roman" w:eastAsia="Times New Roman" w:hAnsi="Times New Roman" w:cs="Times New Roman"/>
          <w:noProof/>
          <w:color w:val="6E693D"/>
          <w:lang w:eastAsia="ru-RU"/>
        </w:rPr>
        <w:drawing>
          <wp:inline distT="0" distB="0" distL="0" distR="0" wp14:anchorId="7330A215" wp14:editId="2BC6FFE8">
            <wp:extent cx="148590" cy="148590"/>
            <wp:effectExtent l="0" t="0" r="3810" b="3810"/>
            <wp:docPr id="2" name="Рисунок 2" descr="версия PDF">
              <a:hlinkClick xmlns:a="http://schemas.openxmlformats.org/drawingml/2006/main" r:id="rId7" tooltip="&quot;Display a PDF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PDF">
                      <a:hlinkClick r:id="rId7" tooltip="&quot;Display a PDF version of this p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6323"/>
        <w:gridCol w:w="3032"/>
      </w:tblGrid>
      <w:tr w:rsidR="006602F0" w:rsidRPr="006602F0" w:rsidTr="006602F0">
        <w:tc>
          <w:tcPr>
            <w:tcW w:w="0" w:type="auto"/>
            <w:vAlign w:val="center"/>
            <w:hideMark/>
          </w:tcPr>
          <w:p w:rsidR="006602F0" w:rsidRPr="006602F0" w:rsidRDefault="006602F0" w:rsidP="006602F0">
            <w:pPr>
              <w:spacing w:before="120" w:after="216" w:line="240" w:lineRule="auto"/>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25 декабря 2008 года</w:t>
            </w:r>
          </w:p>
        </w:tc>
        <w:tc>
          <w:tcPr>
            <w:tcW w:w="0" w:type="auto"/>
            <w:vAlign w:val="center"/>
            <w:hideMark/>
          </w:tcPr>
          <w:p w:rsidR="006602F0" w:rsidRPr="006602F0" w:rsidRDefault="006602F0" w:rsidP="006602F0">
            <w:pPr>
              <w:spacing w:before="120" w:after="216" w:line="240" w:lineRule="auto"/>
              <w:jc w:val="right"/>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 273-ФЗ</w:t>
            </w:r>
          </w:p>
        </w:tc>
      </w:tr>
    </w:tbl>
    <w:p w:rsidR="006602F0" w:rsidRPr="006602F0" w:rsidRDefault="00B55D63" w:rsidP="006602F0">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pict>
          <v:rect id="_x0000_i1025" style="width:0;height:.75pt" o:hralign="center" o:hrstd="t" o:hr="t" fillcolor="#a0a0a0" stroked="f"/>
        </w:pic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b/>
          <w:bCs/>
          <w:color w:val="000000"/>
          <w:lang w:eastAsia="ru-RU"/>
        </w:rPr>
        <w:t>РОССИЙСКАЯ ФЕДЕРАЦИЯ</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b/>
          <w:bCs/>
          <w:color w:val="000000"/>
          <w:lang w:eastAsia="ru-RU"/>
        </w:rPr>
        <w:t>ФЕДЕРАЛЬНЫЙ ЗАКОН</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50" w:after="150" w:line="240" w:lineRule="auto"/>
        <w:jc w:val="center"/>
        <w:outlineLvl w:val="2"/>
        <w:rPr>
          <w:rFonts w:ascii="Times New Roman" w:eastAsia="Times New Roman" w:hAnsi="Times New Roman" w:cs="Times New Roman"/>
          <w:b/>
          <w:bCs/>
          <w:color w:val="333300"/>
          <w:sz w:val="28"/>
          <w:szCs w:val="28"/>
          <w:lang w:eastAsia="ru-RU"/>
        </w:rPr>
      </w:pPr>
      <w:r w:rsidRPr="006602F0">
        <w:rPr>
          <w:rFonts w:ascii="Times New Roman" w:eastAsia="Times New Roman" w:hAnsi="Times New Roman" w:cs="Times New Roman"/>
          <w:b/>
          <w:bCs/>
          <w:color w:val="333300"/>
          <w:sz w:val="28"/>
          <w:szCs w:val="28"/>
          <w:lang w:eastAsia="ru-RU"/>
        </w:rPr>
        <w:t>О ПРОТИВОДЕЙСТВИИ КОРРУПЦИИ</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Принят</w:t>
      </w:r>
      <w:r w:rsidRPr="006602F0">
        <w:rPr>
          <w:rFonts w:ascii="Times New Roman" w:eastAsia="Times New Roman" w:hAnsi="Times New Roman" w:cs="Times New Roman"/>
          <w:color w:val="000000"/>
          <w:lang w:eastAsia="ru-RU"/>
        </w:rPr>
        <w:br/>
        <w:t>Государственной Думой</w:t>
      </w:r>
      <w:r w:rsidRPr="006602F0">
        <w:rPr>
          <w:rFonts w:ascii="Times New Roman" w:eastAsia="Times New Roman" w:hAnsi="Times New Roman" w:cs="Times New Roman"/>
          <w:color w:val="000000"/>
          <w:lang w:eastAsia="ru-RU"/>
        </w:rPr>
        <w:br/>
        <w:t>19 декабря 2008 года</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Одобрен</w:t>
      </w:r>
      <w:r w:rsidRPr="006602F0">
        <w:rPr>
          <w:rFonts w:ascii="Times New Roman" w:eastAsia="Times New Roman" w:hAnsi="Times New Roman" w:cs="Times New Roman"/>
          <w:color w:val="000000"/>
          <w:lang w:eastAsia="ru-RU"/>
        </w:rPr>
        <w:br/>
        <w:t>Советом Федерации</w:t>
      </w:r>
      <w:r w:rsidRPr="006602F0">
        <w:rPr>
          <w:rFonts w:ascii="Times New Roman" w:eastAsia="Times New Roman" w:hAnsi="Times New Roman" w:cs="Times New Roman"/>
          <w:color w:val="000000"/>
          <w:lang w:eastAsia="ru-RU"/>
        </w:rPr>
        <w:br/>
        <w:t>22 декабря 2008 года</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ред. Федеральных законов от 11.07.2011 № 200-ФЗ,</w:t>
      </w:r>
      <w:r w:rsidRPr="006602F0">
        <w:rPr>
          <w:rFonts w:ascii="Times New Roman" w:eastAsia="Times New Roman" w:hAnsi="Times New Roman" w:cs="Times New Roman"/>
          <w:color w:val="000000"/>
          <w:lang w:eastAsia="ru-RU"/>
        </w:rPr>
        <w:br/>
        <w:t>от 21.11.2011 № 329-ФЗ, от 03.12.2012 № 231-ФЗ, от 29.12.2012 № 280-ФЗ</w:t>
      </w:r>
      <w:r w:rsidRPr="006602F0">
        <w:rPr>
          <w:rFonts w:ascii="Times New Roman" w:eastAsia="Times New Roman" w:hAnsi="Times New Roman" w:cs="Times New Roman"/>
          <w:color w:val="000000"/>
          <w:lang w:eastAsia="ru-RU"/>
        </w:rPr>
        <w:br/>
        <w:t>от 07.05.2013 № 102-ФЗ, от 30.09.2013 № 261-ФЗ, от 28.12.2013 № 396-ФЗ,</w:t>
      </w:r>
      <w:r w:rsidRPr="006602F0">
        <w:rPr>
          <w:rFonts w:ascii="Times New Roman" w:eastAsia="Times New Roman" w:hAnsi="Times New Roman" w:cs="Times New Roman"/>
          <w:color w:val="000000"/>
          <w:lang w:eastAsia="ru-RU"/>
        </w:rPr>
        <w:br/>
        <w:t>от 22.12.2014 № 431-ФЗ)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 Основные понятия, используемые в настоящем Федеральном законе</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Для целей настоящего Федерального закона используются следующие основные понятия: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w:t>
      </w:r>
      <w:r w:rsidRPr="006602F0">
        <w:rPr>
          <w:rFonts w:ascii="Times New Roman" w:eastAsia="Times New Roman" w:hAnsi="Times New Roman" w:cs="Times New Roman"/>
          <w:b/>
          <w:bCs/>
          <w:color w:val="000000"/>
          <w:lang w:eastAsia="ru-RU"/>
        </w:rPr>
        <w:t>коррупция:</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совершение деяний, указанных в подпункте "а" настоящего пункта, от имени или в интересах юридического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w:t>
      </w:r>
      <w:r w:rsidRPr="006602F0">
        <w:rPr>
          <w:rFonts w:ascii="Times New Roman" w:eastAsia="Times New Roman" w:hAnsi="Times New Roman" w:cs="Times New Roman"/>
          <w:b/>
          <w:bCs/>
          <w:color w:val="000000"/>
          <w:lang w:eastAsia="ru-RU"/>
        </w:rPr>
        <w:t>противодействие коррупции </w:t>
      </w:r>
      <w:r w:rsidRPr="006602F0">
        <w:rPr>
          <w:rFonts w:ascii="Times New Roman" w:eastAsia="Times New Roman" w:hAnsi="Times New Roman" w:cs="Times New Roman"/>
          <w:color w:val="000000"/>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w:t>
      </w:r>
      <w:r w:rsidRPr="006602F0">
        <w:rPr>
          <w:rFonts w:ascii="Times New Roman" w:eastAsia="Times New Roman" w:hAnsi="Times New Roman" w:cs="Times New Roman"/>
          <w:color w:val="000000"/>
          <w:lang w:eastAsia="ru-RU"/>
        </w:rPr>
        <w:lastRenderedPageBreak/>
        <w:t>местного самоуправления, институтов гражданского общества, организаций и физических лиц в пределах их полномочий: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по предупреждению коррупции, в том числе по выявлению и последующему устранению причин коррупции (профилактика коррупции);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по выявлению, предупреждению, пресечению, раскрытию и расследованию коррупционных правонарушений (борьба с коррупцией);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по минимизации и (или) ликвидации последствий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3</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нормативные правовые акты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законы и иные нормативные правовые акты органов государственной власти субъектов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муниципальные правовые акты;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4</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2. Правовая основа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3. Основные принципы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Противодействие коррупции в Российской Федерации основывается на следующих основных принципах: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признание, обеспечение и защита основных прав и свобод человека и гражданина;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законность;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3) публичность и открытость деятельности государственных органов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неотвратимость ответственности за совершение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приоритетное применение мер по предупреждению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сотрудничество государства с институтами гражданского общества, международными организациями и физическими лицами.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4. Международное сотрудничество Российской Федерации в области противодействия коррупции</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предоставления в надлежащих случаях предметов или образцов веществ для проведения исследований или судебных экспертиз;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обмена информацией по вопросам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координации деятельности по профилактике коррупции и борьбе с коррупцией.</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5. Организационные основы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определяет основные направления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5 настоящего Федерального закона дополнена частью 4.1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«О Счетной палате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6. Меры по профилактике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Профилактика коррупции осуществляется путем применения следующих основных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1) формирование в обществе нетерпимости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антикоррупционная экспертиза правовых актов и их проектов;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6 настоящего Федерального закона дополнена пунктом 2.1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21.11.2011 N 329-ФЗ, от 03.12.2012 N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Основными направлениями деятельности государственных органов по повышению эффективности противодействия коррупции являются: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проведение единой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пункт 6 статьи 7 настоящего Федерального закона изложен в новой редакции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обеспечение независимости средств массовой информации;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9) неукоснительное соблюдение принципов независимости судей и невмешательства в судебную деятельность;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10) совершенствование организации деятельности правоохранительных и контролирующих органов по противодействию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совершенствование порядка прохождения государственной и муниципальной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28.12.2013 № 396-ФЗ)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13) устранение необоснованных запретов и ограничений, особенно в области экономической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15) повышение уровня оплаты труда и социальной защищенности государственных и муниципальных служащих;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17) усиление контроля за решением вопросов, содержащихся в обращениях граждан и юридических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07.05.2013 № 102-ФЗ)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лицам, замещающим (занимающим):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государственные должности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должности первого заместителя и заместителей Генерального прокурора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должности членов Совета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 государственные должности субъектов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е) должности заместителей руководителей федеральных органов исполнительной власти;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з) должности глав городских округов, глав муниципальных районов;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(пп. "и" введен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супругам и несовершеннолетним детям лиц, указанных в подпунктах "а" – "з" пункта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иным лицам в случаях, предусмотренных федеральными законами.</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 ред. Федерального закона от 22.12.2014 № 431-ФЗ)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 Представление сведений о доходах, об имуществе и обязательствах имущественного характера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граждане, претендующие на замещение должностей государственной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w:t>
      </w:r>
      <w:r w:rsidRPr="006602F0">
        <w:rPr>
          <w:rFonts w:ascii="Times New Roman" w:eastAsia="Times New Roman" w:hAnsi="Times New Roman" w:cs="Times New Roman"/>
          <w:color w:val="000000"/>
          <w:lang w:eastAsia="ru-RU"/>
        </w:rPr>
        <w:lastRenderedPageBreak/>
        <w:t>Федерации, включенных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1.1 введен Федеральным законом от 03.12.2012 №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1.2 введен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3.1) граждане, претендующие на замещение должностей руководителей государственных (муниципальных) учреждений;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3.1 введен Федеральным законом от 29.12.2012 №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3.2 введен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лица, замещающие должности, указанные в пунктах 1.1 - 3.1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4 в ред. Федерального закона от 22.12.2014 № 431-ФЗ)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w:t>
      </w:r>
      <w:r w:rsidRPr="006602F0">
        <w:rPr>
          <w:rFonts w:ascii="Times New Roman" w:eastAsia="Times New Roman" w:hAnsi="Times New Roman" w:cs="Times New Roman"/>
          <w:color w:val="000000"/>
          <w:lang w:eastAsia="ru-RU"/>
        </w:rPr>
        <w:lastRenderedPageBreak/>
        <w:t>составляющим государственную тайну, подлежат защите в соответствии с законодательством Российской Федерации о государственной тайне.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w:t>
      </w:r>
      <w:r w:rsidRPr="006602F0">
        <w:rPr>
          <w:rFonts w:ascii="Times New Roman" w:eastAsia="Times New Roman" w:hAnsi="Times New Roman" w:cs="Times New Roman"/>
          <w:color w:val="000000"/>
          <w:lang w:eastAsia="ru-RU"/>
        </w:rPr>
        <w:lastRenderedPageBreak/>
        <w:t>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7.1 введена Федеральным законом от 29.12.2012 №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8.1. Представление сведений о расходах</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03.12.2012 № 231-ФЗ)</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w:t>
      </w:r>
      <w:r w:rsidRPr="006602F0">
        <w:rPr>
          <w:rFonts w:ascii="Times New Roman" w:eastAsia="Times New Roman" w:hAnsi="Times New Roman" w:cs="Times New Roman"/>
          <w:color w:val="000000"/>
          <w:lang w:eastAsia="ru-RU"/>
        </w:rPr>
        <w:lastRenderedPageBreak/>
        <w:t>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22.12.2014 № 431-ФЗ)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10. Конфликт интересов на государственной и муниципальной службе</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принимать меры по недопущению любой возможности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5.1 введена Федеральным законом от 21.11.2011 № 329-ФЗ)</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О разъяснении положений статьи 12 см. письмо Минтруда России от 30.12.2013 № 18-2/4074.</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 в ред. Федерального закона от 21.11.2011 № 329-ФЗ)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1.1 введена Федеральным законом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6 введена Федеральным законом от 21.11.2011 № 329-ФЗ)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30.09.2013 № 261-ФЗ)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замещать другие должности в органах государственной власти и органах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 79-ФЗ «О государственной гражданской службе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12.5. Установление иных запретов, ограничений, обязательств и правил служебного поведения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 Ответственность физических лиц за коррупционные правонарушения</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21.11.2011 № 329-ФЗ)</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непринятия лицом мер по предотвращению и (или) урегулированию конфликта интересов, стороной которого оно является;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осуществления лицом предпринимательской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03.12.2012 № 231-ФЗ)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13.3. Обязанность организаций принимать меры по предупреждению коррупции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03.12.2012 № 231-ФЗ)</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Меры по предупреждению коррупции, принимаемые в организации, могут включать: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определение подразделений или должностных лиц, ответственных за профилактику коррупционных и иных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сотрудничество организации с правоохранительными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разработку и внедрение в практику стандартов и процедур, направленных на обеспечение добросовестной работы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принятие кодекса этики и служебного поведения работников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предотвращение и урегулирование конфликта интересов;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недопущение составления неофициальной отчетности и использования поддельных документов.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13.4. Осуществление проверок уполномоченным подразделением Администрации Президента Российской Федерации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(введена Федеральным законом от 07.05.2013 № 102-ФЗ)</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14. Ответственность юридических лиц за коррупционные правонарушения</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w:t>
      </w:r>
      <w:r w:rsidRPr="006602F0">
        <w:rPr>
          <w:rFonts w:ascii="Times New Roman" w:eastAsia="Times New Roman" w:hAnsi="Times New Roman" w:cs="Times New Roman"/>
          <w:color w:val="000000"/>
          <w:lang w:eastAsia="ru-RU"/>
        </w:rPr>
        <w:br/>
        <w:t>Российской Федерации</w:t>
      </w:r>
      <w:r w:rsidRPr="006602F0">
        <w:rPr>
          <w:rFonts w:ascii="Times New Roman" w:eastAsia="Times New Roman" w:hAnsi="Times New Roman" w:cs="Times New Roman"/>
          <w:color w:val="000000"/>
          <w:lang w:eastAsia="ru-RU"/>
        </w:rPr>
        <w:br/>
      </w:r>
      <w:r w:rsidRPr="006602F0">
        <w:rPr>
          <w:rFonts w:ascii="Times New Roman" w:eastAsia="Times New Roman" w:hAnsi="Times New Roman" w:cs="Times New Roman"/>
          <w:i/>
          <w:iCs/>
          <w:color w:val="000000"/>
          <w:lang w:eastAsia="ru-RU"/>
        </w:rPr>
        <w:t>Д. МЕДВЕДЕВ</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Москва, Кремль</w:t>
      </w:r>
      <w:r w:rsidRPr="006602F0">
        <w:rPr>
          <w:rFonts w:ascii="Times New Roman" w:eastAsia="Times New Roman" w:hAnsi="Times New Roman" w:cs="Times New Roman"/>
          <w:color w:val="000000"/>
          <w:lang w:eastAsia="ru-RU"/>
        </w:rPr>
        <w:br/>
        <w:t>25 декабря 2008 года</w:t>
      </w:r>
      <w:r w:rsidRPr="006602F0">
        <w:rPr>
          <w:rFonts w:ascii="Times New Roman" w:eastAsia="Times New Roman" w:hAnsi="Times New Roman" w:cs="Times New Roman"/>
          <w:color w:val="000000"/>
          <w:lang w:eastAsia="ru-RU"/>
        </w:rPr>
        <w:br/>
        <w:t>№ 273-ФЗ</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Полная версия этого текста находится на странице</w:t>
      </w:r>
      <w:hyperlink r:id="rId9" w:history="1">
        <w:r w:rsidRPr="006602F0">
          <w:rPr>
            <w:rFonts w:ascii="Times New Roman" w:eastAsia="Times New Roman" w:hAnsi="Times New Roman" w:cs="Times New Roman"/>
            <w:color w:val="6E693D"/>
            <w:sz w:val="18"/>
            <w:szCs w:val="18"/>
            <w:u w:val="single"/>
            <w:lang w:eastAsia="ru-RU"/>
          </w:rPr>
          <w:t>http://archives.ru/documents/fz273-anticorruption.shtml</w:t>
        </w:r>
      </w:hyperlink>
    </w:p>
    <w:p w:rsidR="006602F0" w:rsidRPr="006602F0" w:rsidRDefault="006602F0" w:rsidP="006602F0">
      <w:pPr>
        <w:shd w:val="clear" w:color="auto" w:fill="FFFFFF"/>
        <w:spacing w:line="240" w:lineRule="auto"/>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br/>
      </w:r>
    </w:p>
    <w:p w:rsidR="001A125E" w:rsidRDefault="001A125E"/>
    <w:sectPr w:rsidR="001A1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A5"/>
    <w:multiLevelType w:val="multilevel"/>
    <w:tmpl w:val="18EA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B114F"/>
    <w:multiLevelType w:val="multilevel"/>
    <w:tmpl w:val="659E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B5068"/>
    <w:multiLevelType w:val="multilevel"/>
    <w:tmpl w:val="FAAA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C0906"/>
    <w:multiLevelType w:val="multilevel"/>
    <w:tmpl w:val="AE58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96406"/>
    <w:multiLevelType w:val="multilevel"/>
    <w:tmpl w:val="3266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F3752"/>
    <w:multiLevelType w:val="multilevel"/>
    <w:tmpl w:val="1828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35F34"/>
    <w:multiLevelType w:val="multilevel"/>
    <w:tmpl w:val="53FE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92A61"/>
    <w:multiLevelType w:val="multilevel"/>
    <w:tmpl w:val="1362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34A6A"/>
    <w:multiLevelType w:val="multilevel"/>
    <w:tmpl w:val="1BFA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45B9A"/>
    <w:multiLevelType w:val="multilevel"/>
    <w:tmpl w:val="F216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DE5B2A"/>
    <w:multiLevelType w:val="multilevel"/>
    <w:tmpl w:val="4B78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EA59D3"/>
    <w:multiLevelType w:val="multilevel"/>
    <w:tmpl w:val="9CBE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E6922"/>
    <w:multiLevelType w:val="multilevel"/>
    <w:tmpl w:val="3A20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6C07F9"/>
    <w:multiLevelType w:val="multilevel"/>
    <w:tmpl w:val="066C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6059C8"/>
    <w:multiLevelType w:val="multilevel"/>
    <w:tmpl w:val="1254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215996"/>
    <w:multiLevelType w:val="multilevel"/>
    <w:tmpl w:val="2208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FB7333"/>
    <w:multiLevelType w:val="multilevel"/>
    <w:tmpl w:val="5A60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0"/>
  </w:num>
  <w:num w:numId="4">
    <w:abstractNumId w:val="8"/>
  </w:num>
  <w:num w:numId="5">
    <w:abstractNumId w:val="4"/>
  </w:num>
  <w:num w:numId="6">
    <w:abstractNumId w:val="10"/>
  </w:num>
  <w:num w:numId="7">
    <w:abstractNumId w:val="1"/>
  </w:num>
  <w:num w:numId="8">
    <w:abstractNumId w:val="14"/>
  </w:num>
  <w:num w:numId="9">
    <w:abstractNumId w:val="7"/>
  </w:num>
  <w:num w:numId="10">
    <w:abstractNumId w:val="16"/>
  </w:num>
  <w:num w:numId="11">
    <w:abstractNumId w:val="6"/>
  </w:num>
  <w:num w:numId="12">
    <w:abstractNumId w:val="3"/>
  </w:num>
  <w:num w:numId="13">
    <w:abstractNumId w:val="15"/>
  </w:num>
  <w:num w:numId="14">
    <w:abstractNumId w:val="13"/>
  </w:num>
  <w:num w:numId="15">
    <w:abstractNumId w:val="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F0"/>
    <w:rsid w:val="001A125E"/>
    <w:rsid w:val="006602F0"/>
    <w:rsid w:val="009E41ED"/>
    <w:rsid w:val="00B5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9751A-5432-4BF4-B860-D4AE02D0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2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5519">
      <w:bodyDiv w:val="1"/>
      <w:marLeft w:val="0"/>
      <w:marRight w:val="0"/>
      <w:marTop w:val="0"/>
      <w:marBottom w:val="0"/>
      <w:divBdr>
        <w:top w:val="none" w:sz="0" w:space="0" w:color="auto"/>
        <w:left w:val="none" w:sz="0" w:space="0" w:color="auto"/>
        <w:bottom w:val="none" w:sz="0" w:space="0" w:color="auto"/>
        <w:right w:val="none" w:sz="0" w:space="0" w:color="auto"/>
      </w:divBdr>
      <w:divsChild>
        <w:div w:id="1765953482">
          <w:marLeft w:val="0"/>
          <w:marRight w:val="0"/>
          <w:marTop w:val="120"/>
          <w:marBottom w:val="480"/>
          <w:divBdr>
            <w:top w:val="none" w:sz="0" w:space="0" w:color="auto"/>
            <w:left w:val="none" w:sz="0" w:space="0" w:color="auto"/>
            <w:bottom w:val="none" w:sz="0" w:space="0" w:color="auto"/>
            <w:right w:val="none" w:sz="0" w:space="0" w:color="auto"/>
          </w:divBdr>
          <w:divsChild>
            <w:div w:id="1117797216">
              <w:marLeft w:val="0"/>
              <w:marRight w:val="0"/>
              <w:marTop w:val="120"/>
              <w:marBottom w:val="120"/>
              <w:divBdr>
                <w:top w:val="none" w:sz="0" w:space="0" w:color="auto"/>
                <w:left w:val="none" w:sz="0" w:space="0" w:color="auto"/>
                <w:bottom w:val="none" w:sz="0" w:space="0" w:color="auto"/>
                <w:right w:val="none" w:sz="0" w:space="0" w:color="auto"/>
              </w:divBdr>
              <w:divsChild>
                <w:div w:id="690300516">
                  <w:marLeft w:val="0"/>
                  <w:marRight w:val="0"/>
                  <w:marTop w:val="0"/>
                  <w:marBottom w:val="0"/>
                  <w:divBdr>
                    <w:top w:val="none" w:sz="0" w:space="0" w:color="auto"/>
                    <w:left w:val="none" w:sz="0" w:space="0" w:color="auto"/>
                    <w:bottom w:val="none" w:sz="0" w:space="0" w:color="auto"/>
                    <w:right w:val="none" w:sz="0" w:space="0" w:color="auto"/>
                  </w:divBdr>
                </w:div>
                <w:div w:id="1409113717">
                  <w:marLeft w:val="0"/>
                  <w:marRight w:val="0"/>
                  <w:marTop w:val="0"/>
                  <w:marBottom w:val="0"/>
                  <w:divBdr>
                    <w:top w:val="none" w:sz="0" w:space="0" w:color="auto"/>
                    <w:left w:val="none" w:sz="0" w:space="0" w:color="auto"/>
                    <w:bottom w:val="none" w:sz="0" w:space="0" w:color="auto"/>
                    <w:right w:val="none" w:sz="0" w:space="0" w:color="auto"/>
                  </w:divBdr>
                </w:div>
                <w:div w:id="16986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archives.ru/printpdf/documents/fz273-anticorrup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archives.ru/print/documents/fz273-anticorruption.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chives.ru/documents/fz273-anticorrupti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10019</Words>
  <Characters>57110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Патимат</cp:lastModifiedBy>
  <cp:revision>2</cp:revision>
  <dcterms:created xsi:type="dcterms:W3CDTF">2020-04-24T08:10:00Z</dcterms:created>
  <dcterms:modified xsi:type="dcterms:W3CDTF">2020-04-24T08:10:00Z</dcterms:modified>
</cp:coreProperties>
</file>